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EA" w:rsidRDefault="00ED06F1" w:rsidP="00ED06F1">
      <w:pPr>
        <w:jc w:val="center"/>
        <w:rPr>
          <w:rFonts w:asciiTheme="majorHAnsi" w:hAnsiTheme="majorHAnsi"/>
          <w:b/>
          <w:sz w:val="24"/>
          <w:szCs w:val="24"/>
        </w:rPr>
      </w:pPr>
      <w:r w:rsidRPr="00ED06F1">
        <w:rPr>
          <w:rFonts w:asciiTheme="majorHAnsi" w:hAnsiTheme="majorHAnsi"/>
          <w:b/>
          <w:sz w:val="24"/>
          <w:szCs w:val="24"/>
        </w:rPr>
        <w:t>Размер и порядок определения страховых выплат по ОСАГО</w:t>
      </w:r>
    </w:p>
    <w:p w:rsidR="00A07607" w:rsidRPr="00290EDD" w:rsidRDefault="00A07607" w:rsidP="00A07607">
      <w:pPr>
        <w:jc w:val="center"/>
        <w:rPr>
          <w:rFonts w:asciiTheme="majorHAnsi" w:hAnsiTheme="majorHAnsi"/>
          <w:b/>
          <w:sz w:val="24"/>
          <w:szCs w:val="24"/>
        </w:rPr>
      </w:pPr>
      <w:r w:rsidRPr="00290EDD">
        <w:rPr>
          <w:rFonts w:asciiTheme="majorHAnsi" w:hAnsiTheme="majorHAnsi"/>
          <w:b/>
          <w:sz w:val="24"/>
          <w:szCs w:val="24"/>
        </w:rPr>
        <w:t>Пределы страховых выплат составляют (ст. 7, ст. 11.1 №40-ФЗ):</w:t>
      </w:r>
    </w:p>
    <w:p w:rsidR="00ED06F1" w:rsidRPr="00A07607" w:rsidRDefault="00B12678" w:rsidP="00A07607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17E62D" wp14:editId="55E6468E">
            <wp:simplePos x="0" y="0"/>
            <wp:positionH relativeFrom="column">
              <wp:posOffset>-243205</wp:posOffset>
            </wp:positionH>
            <wp:positionV relativeFrom="paragraph">
              <wp:posOffset>13335</wp:posOffset>
            </wp:positionV>
            <wp:extent cx="2452370" cy="2164080"/>
            <wp:effectExtent l="0" t="0" r="5080" b="7620"/>
            <wp:wrapTight wrapText="bothSides">
              <wp:wrapPolygon edited="0">
                <wp:start x="0" y="0"/>
                <wp:lineTo x="0" y="21486"/>
                <wp:lineTo x="21477" y="21486"/>
                <wp:lineTo x="21477" y="0"/>
                <wp:lineTo x="0" y="0"/>
              </wp:wrapPolygon>
            </wp:wrapTight>
            <wp:docPr id="1" name="Рисунок 1" descr="D:\для стола\Personal Accident 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тола\Personal Accident Insu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6F1" w:rsidRPr="00A07607">
        <w:rPr>
          <w:rFonts w:asciiTheme="majorHAnsi" w:hAnsiTheme="majorHAnsi"/>
          <w:sz w:val="24"/>
          <w:szCs w:val="24"/>
        </w:rPr>
        <w:t>в части возмещения вреда, причиненного жизни или здоровью каждого потерпевшего, -  до 500 тысяч рублей (для полисов ОСАГО от 01.04.2015г.); ранее выданные полисы ОСАГО – до 160 тысяч рублей;</w:t>
      </w:r>
    </w:p>
    <w:p w:rsidR="00ED06F1" w:rsidRPr="00A07607" w:rsidRDefault="00ED06F1" w:rsidP="00A07607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07607">
        <w:rPr>
          <w:rFonts w:asciiTheme="majorHAnsi" w:hAnsiTheme="majorHAnsi"/>
          <w:sz w:val="24"/>
          <w:szCs w:val="24"/>
        </w:rPr>
        <w:t>в части возмещения вреда, причиненного имуществу каждого потерпевшего, - до 400 тысяч рублей (для полисов ОСАГО от 01.10.2014г.);</w:t>
      </w:r>
    </w:p>
    <w:p w:rsidR="00ED06F1" w:rsidRPr="00A07607" w:rsidRDefault="00ED06F1" w:rsidP="00B1267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07607">
        <w:rPr>
          <w:rFonts w:asciiTheme="majorHAnsi" w:hAnsiTheme="majorHAnsi"/>
          <w:sz w:val="24"/>
          <w:szCs w:val="24"/>
        </w:rPr>
        <w:t>в части возмещения вреда, причиненного имуществу потерпевшего, по европротоколу  - не более 50 тысяч рублей (для полисов ОСАГО от 03.08.2014г.); ранее выданные полисы ОСАГО – до 25 тысяч рублей.</w:t>
      </w:r>
    </w:p>
    <w:p w:rsidR="00B3682A" w:rsidRPr="000B3084" w:rsidRDefault="00B3682A" w:rsidP="00B3682A">
      <w:pPr>
        <w:jc w:val="center"/>
        <w:rPr>
          <w:rFonts w:asciiTheme="majorHAnsi" w:hAnsiTheme="majorHAnsi"/>
          <w:b/>
          <w:sz w:val="24"/>
          <w:szCs w:val="24"/>
        </w:rPr>
      </w:pPr>
      <w:r w:rsidRPr="000B3084">
        <w:rPr>
          <w:rFonts w:asciiTheme="majorHAnsi" w:hAnsiTheme="majorHAnsi"/>
          <w:b/>
          <w:sz w:val="24"/>
          <w:szCs w:val="24"/>
        </w:rPr>
        <w:t>За причинение вреда жизни:</w:t>
      </w:r>
    </w:p>
    <w:p w:rsidR="00B3682A" w:rsidRPr="000B3084" w:rsidRDefault="00B3682A" w:rsidP="00B3682A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B3084">
        <w:rPr>
          <w:rFonts w:asciiTheme="majorHAnsi" w:hAnsiTheme="majorHAnsi"/>
          <w:sz w:val="24"/>
          <w:szCs w:val="24"/>
        </w:rPr>
        <w:t>в случае смерти – 475 тысяч рублей – выгодоприобретателям</w:t>
      </w:r>
      <w:r w:rsidR="00087A59">
        <w:rPr>
          <w:rFonts w:asciiTheme="majorHAnsi" w:hAnsiTheme="majorHAnsi"/>
          <w:sz w:val="24"/>
          <w:szCs w:val="24"/>
        </w:rPr>
        <w:t>;</w:t>
      </w:r>
    </w:p>
    <w:p w:rsidR="00B3682A" w:rsidRPr="000B3084" w:rsidRDefault="002F08C2" w:rsidP="00B3682A">
      <w:pPr>
        <w:pStyle w:val="a3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B422BBA" wp14:editId="64947062">
            <wp:simplePos x="0" y="0"/>
            <wp:positionH relativeFrom="column">
              <wp:posOffset>4564380</wp:posOffset>
            </wp:positionH>
            <wp:positionV relativeFrom="paragraph">
              <wp:posOffset>338455</wp:posOffset>
            </wp:positionV>
            <wp:extent cx="209550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404" y="21227"/>
                <wp:lineTo x="21404" y="0"/>
                <wp:lineTo x="0" y="0"/>
              </wp:wrapPolygon>
            </wp:wrapTight>
            <wp:docPr id="3" name="Рисунок 3" descr="D:\для стола\cosa-fare-in-caso-di-incidente-con-un-veicolo-estero_52d0ab0048ccae12a300d830e9810c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стола\cosa-fare-in-caso-di-incidente-con-un-veicolo-estero_52d0ab0048ccae12a300d830e9810c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82A" w:rsidRPr="000B3084">
        <w:rPr>
          <w:rFonts w:asciiTheme="majorHAnsi" w:hAnsiTheme="majorHAnsi"/>
          <w:sz w:val="24"/>
          <w:szCs w:val="24"/>
        </w:rPr>
        <w:t>лицам, понесшим расходы на погребение – не более 25 тысяч рублей.</w:t>
      </w:r>
    </w:p>
    <w:p w:rsidR="00B3682A" w:rsidRPr="000B3084" w:rsidRDefault="00B3682A" w:rsidP="00B3682A">
      <w:pPr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0B3084">
        <w:rPr>
          <w:rFonts w:asciiTheme="majorHAnsi" w:hAnsiTheme="majorHAnsi"/>
          <w:b/>
          <w:sz w:val="24"/>
          <w:szCs w:val="24"/>
        </w:rPr>
        <w:t>За причинение вреда имуществу:</w:t>
      </w:r>
      <w:r w:rsidR="002F08C2" w:rsidRPr="002F08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682A" w:rsidRDefault="00B3682A" w:rsidP="00B3682A">
      <w:pPr>
        <w:pStyle w:val="a3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proofErr w:type="gramStart"/>
      <w:r w:rsidRPr="000B3084">
        <w:rPr>
          <w:rFonts w:asciiTheme="majorHAnsi" w:hAnsiTheme="majorHAnsi"/>
          <w:sz w:val="24"/>
          <w:szCs w:val="24"/>
        </w:rPr>
        <w:t>при полной гибели имущества – в размере действительной стоимости имущества на день наступления страхового случая за вычетом стоимости годных остатков (если ремонт</w:t>
      </w:r>
      <w:proofErr w:type="gramEnd"/>
      <w:r w:rsidRPr="000B308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B3084">
        <w:rPr>
          <w:rFonts w:asciiTheme="majorHAnsi" w:hAnsiTheme="majorHAnsi"/>
          <w:sz w:val="24"/>
          <w:szCs w:val="24"/>
        </w:rPr>
        <w:t>ТС невозможен, либо стоимость  ремонта равна стоимости ТС на дату наступления страхового случая или превышает его стоимость);</w:t>
      </w:r>
      <w:proofErr w:type="gramEnd"/>
    </w:p>
    <w:p w:rsidR="00B3682A" w:rsidRPr="000B3084" w:rsidRDefault="00B3682A" w:rsidP="00B3682A">
      <w:pPr>
        <w:pStyle w:val="a3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B3084">
        <w:rPr>
          <w:rFonts w:asciiTheme="majorHAnsi" w:hAnsiTheme="majorHAnsi"/>
          <w:sz w:val="24"/>
          <w:szCs w:val="24"/>
        </w:rPr>
        <w:t>при повреждении имущества потерпевшего  - в размере расходов, необходимых для приведения имущества в состояние, в котором оно находилось до момента наступления страхового случая (к таким расходам также относятся расходы на материалы и запасные части, необходимые для восстановительного ремонта, расходы на оплату работ, связанных с таким ремонтом).</w:t>
      </w:r>
    </w:p>
    <w:p w:rsidR="00006152" w:rsidRDefault="008E7FF9" w:rsidP="0000615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483428F" wp14:editId="6A9D533F">
            <wp:simplePos x="0" y="0"/>
            <wp:positionH relativeFrom="column">
              <wp:posOffset>678180</wp:posOffset>
            </wp:positionH>
            <wp:positionV relativeFrom="paragraph">
              <wp:posOffset>114935</wp:posOffset>
            </wp:positionV>
            <wp:extent cx="814070" cy="876300"/>
            <wp:effectExtent l="0" t="0" r="5080" b="0"/>
            <wp:wrapTight wrapText="bothSides">
              <wp:wrapPolygon edited="0">
                <wp:start x="0" y="0"/>
                <wp:lineTo x="0" y="21130"/>
                <wp:lineTo x="21229" y="21130"/>
                <wp:lineTo x="21229" y="0"/>
                <wp:lineTo x="0" y="0"/>
              </wp:wrapPolygon>
            </wp:wrapTight>
            <wp:docPr id="4" name="Рисунок 4" descr="D:\для стола\Signs-and-sympt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ля стола\Signs-and-sympto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6" r="14173"/>
                    <a:stretch/>
                  </pic:blipFill>
                  <pic:spPr bwMode="auto">
                    <a:xfrm flipH="1"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08F8D00" wp14:editId="0E210F2C">
            <wp:simplePos x="0" y="0"/>
            <wp:positionH relativeFrom="column">
              <wp:posOffset>7620</wp:posOffset>
            </wp:positionH>
            <wp:positionV relativeFrom="paragraph">
              <wp:posOffset>108585</wp:posOffset>
            </wp:positionV>
            <wp:extent cx="80010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086" y="21304"/>
                <wp:lineTo x="21086" y="0"/>
                <wp:lineTo x="0" y="0"/>
              </wp:wrapPolygon>
            </wp:wrapTight>
            <wp:docPr id="2" name="Рисунок 2" descr="D:\для стола\clipart_of_16233_s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тола\clipart_of_16233_sm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r="14394"/>
                    <a:stretch/>
                  </pic:blipFill>
                  <pic:spPr bwMode="auto">
                    <a:xfrm flipH="1">
                      <a:off x="0" y="0"/>
                      <a:ext cx="800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F1" w:rsidRPr="00160AA0">
        <w:rPr>
          <w:rFonts w:asciiTheme="majorHAnsi" w:hAnsiTheme="majorHAnsi"/>
          <w:b/>
          <w:sz w:val="24"/>
          <w:szCs w:val="24"/>
        </w:rPr>
        <w:t>За  причинение  вреда  здоровью</w:t>
      </w:r>
      <w:r w:rsidR="00160AA0">
        <w:rPr>
          <w:rFonts w:asciiTheme="majorHAnsi" w:hAnsiTheme="majorHAnsi"/>
          <w:b/>
          <w:sz w:val="24"/>
          <w:szCs w:val="24"/>
        </w:rPr>
        <w:t xml:space="preserve">    </w:t>
      </w:r>
    </w:p>
    <w:p w:rsidR="00ED06F1" w:rsidRDefault="00ED06F1" w:rsidP="0061037F">
      <w:pPr>
        <w:pStyle w:val="a3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0B3084">
        <w:rPr>
          <w:rFonts w:asciiTheme="majorHAnsi" w:hAnsiTheme="majorHAnsi"/>
          <w:sz w:val="24"/>
          <w:szCs w:val="24"/>
        </w:rPr>
        <w:t xml:space="preserve">       Разм</w:t>
      </w:r>
      <w:r w:rsidR="00006152">
        <w:rPr>
          <w:rFonts w:asciiTheme="majorHAnsi" w:hAnsiTheme="majorHAnsi"/>
          <w:sz w:val="24"/>
          <w:szCs w:val="24"/>
        </w:rPr>
        <w:t xml:space="preserve">ер страховой выплаты, которая </w:t>
      </w:r>
      <w:r w:rsidRPr="000B3084">
        <w:rPr>
          <w:rFonts w:asciiTheme="majorHAnsi" w:hAnsiTheme="majorHAnsi"/>
          <w:sz w:val="24"/>
          <w:szCs w:val="24"/>
        </w:rPr>
        <w:t>производится в счет возмещения расходов, связанных с восстановлением здоровья потерпевшего, и утраченного им заработка в связи с причинением вреда здоровью в результате ДТП, определяется согласно нормативам в зависимости от характера и степени повреждения здоровья.</w:t>
      </w:r>
    </w:p>
    <w:p w:rsidR="00290EDD" w:rsidRDefault="00290EDD" w:rsidP="00006152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290EDD">
        <w:rPr>
          <w:rFonts w:asciiTheme="majorHAnsi" w:hAnsiTheme="majorHAnsi"/>
          <w:sz w:val="24"/>
          <w:szCs w:val="24"/>
        </w:rPr>
        <w:t>Страховая сумма рассчитывается страховщиком путем умножения страховой суммы, указанной по риску причинения вреда здоровью потерпевшего на одного потерпевшего на нормативы, выраженные в процентах.</w:t>
      </w:r>
    </w:p>
    <w:p w:rsidR="00290EDD" w:rsidRPr="00290EDD" w:rsidRDefault="00290EDD" w:rsidP="00B3682A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290EDD">
        <w:rPr>
          <w:rFonts w:asciiTheme="majorHAnsi" w:hAnsiTheme="majorHAnsi"/>
          <w:sz w:val="24"/>
          <w:szCs w:val="24"/>
        </w:rPr>
        <w:t>Размер выплаты страхового возмещения в связи с инвалидностью определяется в зависимости от стойкого расстройства функций организма (ограничения жизнедеятельности и необходимости социальной защиты) и группы инвалидности.</w:t>
      </w:r>
    </w:p>
    <w:p w:rsidR="00290EDD" w:rsidRPr="00290EDD" w:rsidRDefault="00290EDD" w:rsidP="00290ED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90EDD">
        <w:rPr>
          <w:rFonts w:asciiTheme="majorHAnsi" w:hAnsiTheme="majorHAnsi"/>
          <w:b/>
          <w:sz w:val="24"/>
          <w:szCs w:val="24"/>
        </w:rPr>
        <w:t>для I группы инвалидности</w:t>
      </w:r>
      <w:r w:rsidRPr="00290EDD">
        <w:rPr>
          <w:rFonts w:asciiTheme="majorHAnsi" w:hAnsiTheme="majorHAnsi"/>
          <w:sz w:val="24"/>
          <w:szCs w:val="24"/>
        </w:rPr>
        <w:t xml:space="preserve"> - 100 </w:t>
      </w:r>
      <w:r>
        <w:rPr>
          <w:rFonts w:asciiTheme="majorHAnsi" w:hAnsiTheme="majorHAnsi"/>
          <w:sz w:val="24"/>
          <w:szCs w:val="24"/>
        </w:rPr>
        <w:t>%</w:t>
      </w:r>
      <w:r w:rsidRPr="00290EDD">
        <w:rPr>
          <w:rFonts w:asciiTheme="majorHAnsi" w:hAnsiTheme="majorHAnsi"/>
          <w:sz w:val="24"/>
          <w:szCs w:val="24"/>
        </w:rPr>
        <w:t xml:space="preserve"> страховой суммы, указанной по риску причинения вреда здоровью потерпевшего в договоре;</w:t>
      </w:r>
    </w:p>
    <w:p w:rsidR="00290EDD" w:rsidRPr="00290EDD" w:rsidRDefault="00290EDD" w:rsidP="00290ED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90EDD">
        <w:rPr>
          <w:rFonts w:asciiTheme="majorHAnsi" w:hAnsiTheme="majorHAnsi"/>
          <w:b/>
          <w:sz w:val="24"/>
          <w:szCs w:val="24"/>
        </w:rPr>
        <w:lastRenderedPageBreak/>
        <w:t>для II группы инвалидности</w:t>
      </w:r>
      <w:r w:rsidRPr="00290EDD">
        <w:rPr>
          <w:rFonts w:asciiTheme="majorHAnsi" w:hAnsiTheme="majorHAnsi"/>
          <w:sz w:val="24"/>
          <w:szCs w:val="24"/>
        </w:rPr>
        <w:t xml:space="preserve"> - 70 </w:t>
      </w:r>
      <w:r>
        <w:rPr>
          <w:rFonts w:asciiTheme="majorHAnsi" w:hAnsiTheme="majorHAnsi"/>
          <w:sz w:val="24"/>
          <w:szCs w:val="24"/>
        </w:rPr>
        <w:t>%</w:t>
      </w:r>
      <w:r w:rsidRPr="00290EDD">
        <w:rPr>
          <w:rFonts w:asciiTheme="majorHAnsi" w:hAnsiTheme="majorHAnsi"/>
          <w:sz w:val="24"/>
          <w:szCs w:val="24"/>
        </w:rPr>
        <w:t xml:space="preserve"> страховой суммы, указанной по риску причинения вреда здоровью потерпевшего в договоре;</w:t>
      </w:r>
    </w:p>
    <w:p w:rsidR="00290EDD" w:rsidRPr="00290EDD" w:rsidRDefault="00290EDD" w:rsidP="00290ED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90EDD">
        <w:rPr>
          <w:rFonts w:asciiTheme="majorHAnsi" w:hAnsiTheme="majorHAnsi"/>
          <w:b/>
          <w:sz w:val="24"/>
          <w:szCs w:val="24"/>
        </w:rPr>
        <w:t>для III группы инвалидности</w:t>
      </w:r>
      <w:r w:rsidRPr="00290EDD">
        <w:rPr>
          <w:rFonts w:asciiTheme="majorHAnsi" w:hAnsiTheme="majorHAnsi"/>
          <w:sz w:val="24"/>
          <w:szCs w:val="24"/>
        </w:rPr>
        <w:t xml:space="preserve"> - 50 </w:t>
      </w:r>
      <w:r>
        <w:rPr>
          <w:rFonts w:asciiTheme="majorHAnsi" w:hAnsiTheme="majorHAnsi"/>
          <w:sz w:val="24"/>
          <w:szCs w:val="24"/>
        </w:rPr>
        <w:t>%</w:t>
      </w:r>
      <w:r w:rsidRPr="00290EDD">
        <w:rPr>
          <w:rFonts w:asciiTheme="majorHAnsi" w:hAnsiTheme="majorHAnsi"/>
          <w:sz w:val="24"/>
          <w:szCs w:val="24"/>
        </w:rPr>
        <w:t xml:space="preserve"> страховой суммы, указанной по риску причинения вреда здоровью потерпевшего в договоре;</w:t>
      </w:r>
    </w:p>
    <w:p w:rsidR="00290EDD" w:rsidRDefault="00290EDD" w:rsidP="00290ED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90EDD">
        <w:rPr>
          <w:rFonts w:asciiTheme="majorHAnsi" w:hAnsiTheme="majorHAnsi"/>
          <w:b/>
          <w:sz w:val="24"/>
          <w:szCs w:val="24"/>
        </w:rPr>
        <w:t>для категории "ребенок-инвалид"</w:t>
      </w:r>
      <w:r w:rsidRPr="00290EDD">
        <w:rPr>
          <w:rFonts w:asciiTheme="majorHAnsi" w:hAnsiTheme="majorHAnsi"/>
          <w:sz w:val="24"/>
          <w:szCs w:val="24"/>
        </w:rPr>
        <w:t xml:space="preserve"> - 100 </w:t>
      </w:r>
      <w:r>
        <w:rPr>
          <w:rFonts w:asciiTheme="majorHAnsi" w:hAnsiTheme="majorHAnsi"/>
          <w:sz w:val="24"/>
          <w:szCs w:val="24"/>
        </w:rPr>
        <w:t>%</w:t>
      </w:r>
      <w:r w:rsidRPr="00290EDD">
        <w:rPr>
          <w:rFonts w:asciiTheme="majorHAnsi" w:hAnsiTheme="majorHAnsi"/>
          <w:sz w:val="24"/>
          <w:szCs w:val="24"/>
        </w:rPr>
        <w:t xml:space="preserve"> страховой суммы, указанной по риску причинения вреда здоровью потерпевшего в договоре.</w:t>
      </w:r>
    </w:p>
    <w:p w:rsidR="00737FAE" w:rsidRDefault="00737FAE" w:rsidP="00737FAE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737FAE" w:rsidRDefault="00737FAE" w:rsidP="00737FAE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Н</w:t>
      </w:r>
      <w:r w:rsidRPr="007C6F8B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орматив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ы</w:t>
      </w:r>
      <w:r w:rsidRPr="007C6F8B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для определения страховой выплаты при причинении вреда здоровью </w:t>
      </w:r>
    </w:p>
    <w:p w:rsidR="00737FAE" w:rsidRDefault="00737FAE" w:rsidP="00737FAE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Содержатся в </w:t>
      </w:r>
      <w:r w:rsidRPr="007C6F8B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Постановлени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и</w:t>
      </w:r>
      <w:r w:rsidRPr="007C6F8B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Правите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льства РФ № 150 от 21.02.2015г.</w:t>
      </w:r>
    </w:p>
    <w:p w:rsidR="00E83C5E" w:rsidRDefault="00E83C5E" w:rsidP="00737FAE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E83C5E" w:rsidRPr="007C6F8B" w:rsidRDefault="00E83C5E" w:rsidP="00737FAE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37FAE" w:rsidRDefault="00737FAE" w:rsidP="00290ED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37FAE" w:rsidSect="00D5311A">
      <w:headerReference w:type="default" r:id="rId12"/>
      <w:pgSz w:w="11906" w:h="16838"/>
      <w:pgMar w:top="720" w:right="720" w:bottom="993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5C" w:rsidRDefault="00EA395C" w:rsidP="00087A59">
      <w:pPr>
        <w:spacing w:after="0" w:line="240" w:lineRule="auto"/>
      </w:pPr>
      <w:r>
        <w:separator/>
      </w:r>
    </w:p>
  </w:endnote>
  <w:endnote w:type="continuationSeparator" w:id="0">
    <w:p w:rsidR="00EA395C" w:rsidRDefault="00EA395C" w:rsidP="0008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5C" w:rsidRDefault="00EA395C" w:rsidP="00087A59">
      <w:pPr>
        <w:spacing w:after="0" w:line="240" w:lineRule="auto"/>
      </w:pPr>
      <w:r>
        <w:separator/>
      </w:r>
    </w:p>
  </w:footnote>
  <w:footnote w:type="continuationSeparator" w:id="0">
    <w:p w:rsidR="00EA395C" w:rsidRDefault="00EA395C" w:rsidP="0008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355726"/>
      <w:docPartObj>
        <w:docPartGallery w:val="Page Numbers (Top of Page)"/>
        <w:docPartUnique/>
      </w:docPartObj>
    </w:sdtPr>
    <w:sdtEndPr/>
    <w:sdtContent>
      <w:p w:rsidR="00006152" w:rsidRDefault="00006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C5E">
          <w:rPr>
            <w:noProof/>
          </w:rPr>
          <w:t>1</w:t>
        </w:r>
        <w:r>
          <w:fldChar w:fldCharType="end"/>
        </w:r>
      </w:p>
    </w:sdtContent>
  </w:sdt>
  <w:p w:rsidR="00006152" w:rsidRDefault="000061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F0E"/>
    <w:multiLevelType w:val="hybridMultilevel"/>
    <w:tmpl w:val="677E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2D1"/>
    <w:multiLevelType w:val="hybridMultilevel"/>
    <w:tmpl w:val="2CB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E1000"/>
    <w:multiLevelType w:val="hybridMultilevel"/>
    <w:tmpl w:val="1320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1"/>
    <w:rsid w:val="00006152"/>
    <w:rsid w:val="00087A59"/>
    <w:rsid w:val="000A1EAF"/>
    <w:rsid w:val="000B3084"/>
    <w:rsid w:val="000F480B"/>
    <w:rsid w:val="00160AA0"/>
    <w:rsid w:val="00290EDD"/>
    <w:rsid w:val="002F08C2"/>
    <w:rsid w:val="00334C66"/>
    <w:rsid w:val="00576F1F"/>
    <w:rsid w:val="0061037F"/>
    <w:rsid w:val="00737FAE"/>
    <w:rsid w:val="008E7FEA"/>
    <w:rsid w:val="008E7FF9"/>
    <w:rsid w:val="009A035F"/>
    <w:rsid w:val="00A07607"/>
    <w:rsid w:val="00B12678"/>
    <w:rsid w:val="00B3682A"/>
    <w:rsid w:val="00CA511F"/>
    <w:rsid w:val="00D5311A"/>
    <w:rsid w:val="00E53064"/>
    <w:rsid w:val="00E83C5E"/>
    <w:rsid w:val="00EA395C"/>
    <w:rsid w:val="00ED06F1"/>
    <w:rsid w:val="00F5530A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F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80B"/>
    <w:rPr>
      <w:b/>
      <w:bCs/>
    </w:rPr>
  </w:style>
  <w:style w:type="character" w:customStyle="1" w:styleId="apple-converted-space">
    <w:name w:val="apple-converted-space"/>
    <w:basedOn w:val="a0"/>
    <w:rsid w:val="000F480B"/>
  </w:style>
  <w:style w:type="paragraph" w:styleId="a6">
    <w:name w:val="header"/>
    <w:basedOn w:val="a"/>
    <w:link w:val="a7"/>
    <w:uiPriority w:val="99"/>
    <w:unhideWhenUsed/>
    <w:rsid w:val="0008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A59"/>
  </w:style>
  <w:style w:type="paragraph" w:styleId="a8">
    <w:name w:val="footer"/>
    <w:basedOn w:val="a"/>
    <w:link w:val="a9"/>
    <w:uiPriority w:val="99"/>
    <w:unhideWhenUsed/>
    <w:rsid w:val="0008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A59"/>
  </w:style>
  <w:style w:type="paragraph" w:styleId="aa">
    <w:name w:val="Balloon Text"/>
    <w:basedOn w:val="a"/>
    <w:link w:val="ab"/>
    <w:uiPriority w:val="99"/>
    <w:semiHidden/>
    <w:unhideWhenUsed/>
    <w:rsid w:val="00A0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F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80B"/>
    <w:rPr>
      <w:b/>
      <w:bCs/>
    </w:rPr>
  </w:style>
  <w:style w:type="character" w:customStyle="1" w:styleId="apple-converted-space">
    <w:name w:val="apple-converted-space"/>
    <w:basedOn w:val="a0"/>
    <w:rsid w:val="000F480B"/>
  </w:style>
  <w:style w:type="paragraph" w:styleId="a6">
    <w:name w:val="header"/>
    <w:basedOn w:val="a"/>
    <w:link w:val="a7"/>
    <w:uiPriority w:val="99"/>
    <w:unhideWhenUsed/>
    <w:rsid w:val="0008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A59"/>
  </w:style>
  <w:style w:type="paragraph" w:styleId="a8">
    <w:name w:val="footer"/>
    <w:basedOn w:val="a"/>
    <w:link w:val="a9"/>
    <w:uiPriority w:val="99"/>
    <w:unhideWhenUsed/>
    <w:rsid w:val="0008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A59"/>
  </w:style>
  <w:style w:type="paragraph" w:styleId="aa">
    <w:name w:val="Balloon Text"/>
    <w:basedOn w:val="a"/>
    <w:link w:val="ab"/>
    <w:uiPriority w:val="99"/>
    <w:semiHidden/>
    <w:unhideWhenUsed/>
    <w:rsid w:val="00A0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Зарецкова ЛА</cp:lastModifiedBy>
  <cp:revision>21</cp:revision>
  <dcterms:created xsi:type="dcterms:W3CDTF">2015-09-04T11:09:00Z</dcterms:created>
  <dcterms:modified xsi:type="dcterms:W3CDTF">2015-09-08T07:18:00Z</dcterms:modified>
</cp:coreProperties>
</file>